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6" w:type="dxa"/>
        <w:tblInd w:w="-668" w:type="dxa"/>
        <w:tblCellMar>
          <w:left w:w="10" w:type="dxa"/>
          <w:right w:w="10" w:type="dxa"/>
        </w:tblCellMar>
        <w:tblLook w:val="0000" w:firstRow="0" w:lastRow="0" w:firstColumn="0" w:lastColumn="0" w:noHBand="0" w:noVBand="0"/>
      </w:tblPr>
      <w:tblGrid>
        <w:gridCol w:w="4188"/>
        <w:gridCol w:w="5978"/>
      </w:tblGrid>
      <w:tr w:rsidR="00827739" w:rsidRPr="00CA590D" w:rsidTr="00097770">
        <w:trPr>
          <w:trHeight w:val="1"/>
        </w:trPr>
        <w:tc>
          <w:tcPr>
            <w:tcW w:w="4188" w:type="dxa"/>
            <w:shd w:val="clear" w:color="000000" w:fill="FFFFFF"/>
            <w:tcMar>
              <w:left w:w="108" w:type="dxa"/>
              <w:right w:w="108" w:type="dxa"/>
            </w:tcMar>
          </w:tcPr>
          <w:p w:rsidR="00827739" w:rsidRPr="00CA590D" w:rsidRDefault="004D28CC">
            <w:pPr>
              <w:spacing w:after="0" w:line="240" w:lineRule="auto"/>
              <w:jc w:val="center"/>
              <w:rPr>
                <w:rFonts w:ascii="Times New Roman" w:eastAsia="Times New Roman" w:hAnsi="Times New Roman" w:cs="Times New Roman"/>
                <w:color w:val="000000"/>
                <w:sz w:val="26"/>
              </w:rPr>
            </w:pPr>
            <w:r w:rsidRPr="00CA590D">
              <w:rPr>
                <w:rFonts w:ascii="Times New Roman" w:eastAsia="Times New Roman" w:hAnsi="Times New Roman" w:cs="Times New Roman"/>
                <w:color w:val="000000"/>
                <w:sz w:val="26"/>
              </w:rPr>
              <w:t>BỘ CÔNG THƯƠNG</w:t>
            </w:r>
          </w:p>
          <w:p w:rsidR="00827739" w:rsidRPr="00CA590D" w:rsidRDefault="004D28CC">
            <w:pPr>
              <w:spacing w:after="0" w:line="240" w:lineRule="auto"/>
              <w:jc w:val="center"/>
              <w:rPr>
                <w:rFonts w:ascii="Times New Roman" w:eastAsia="Times New Roman" w:hAnsi="Times New Roman" w:cs="Times New Roman"/>
                <w:b/>
                <w:color w:val="000000"/>
                <w:sz w:val="26"/>
              </w:rPr>
            </w:pPr>
            <w:r w:rsidRPr="00CA590D">
              <w:rPr>
                <w:rFonts w:ascii="Times New Roman" w:eastAsia="Times New Roman" w:hAnsi="Times New Roman" w:cs="Times New Roman"/>
                <w:b/>
                <w:color w:val="000000"/>
                <w:sz w:val="26"/>
              </w:rPr>
              <w:t>CỤC PHÒNG VỆ THƯƠNG MẠI</w:t>
            </w:r>
          </w:p>
          <w:p w:rsidR="00827739" w:rsidRPr="00CA590D" w:rsidRDefault="00CA590D">
            <w:pPr>
              <w:spacing w:after="0" w:line="240" w:lineRule="auto"/>
              <w:jc w:val="center"/>
              <w:rPr>
                <w:rFonts w:ascii="Times New Roman" w:eastAsia="Times New Roman" w:hAnsi="Times New Roman" w:cs="Times New Roman"/>
                <w:b/>
                <w:sz w:val="26"/>
              </w:rPr>
            </w:pPr>
            <w:r w:rsidRPr="00CA590D">
              <w:rPr>
                <w:rFonts w:ascii="Times New Roman" w:eastAsia="Times New Roman" w:hAnsi="Times New Roman" w:cs="Times New Roman"/>
                <w:noProof/>
                <w:color w:val="000000"/>
                <w:sz w:val="26"/>
              </w:rPr>
              <mc:AlternateContent>
                <mc:Choice Requires="wps">
                  <w:drawing>
                    <wp:anchor distT="0" distB="0" distL="114300" distR="114300" simplePos="0" relativeHeight="251658240" behindDoc="0" locked="0" layoutInCell="1" allowOverlap="1" wp14:anchorId="0659D95A" wp14:editId="3FF40206">
                      <wp:simplePos x="0" y="0"/>
                      <wp:positionH relativeFrom="column">
                        <wp:posOffset>596900</wp:posOffset>
                      </wp:positionH>
                      <wp:positionV relativeFrom="paragraph">
                        <wp:posOffset>64770</wp:posOffset>
                      </wp:positionV>
                      <wp:extent cx="1238250" cy="0"/>
                      <wp:effectExtent l="13970" t="7620" r="508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9878C" id="_x0000_t32" coordsize="21600,21600" o:spt="32" o:oned="t" path="m,l21600,21600e" filled="f">
                      <v:path arrowok="t" fillok="f" o:connecttype="none"/>
                      <o:lock v:ext="edit" shapetype="t"/>
                    </v:shapetype>
                    <v:shape id="Straight Arrow Connector 1" o:spid="_x0000_s1026" type="#_x0000_t32" style="position:absolute;margin-left:47pt;margin-top:5.1pt;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iU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9GGez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"/>
                  </w:pict>
                </mc:Fallback>
              </mc:AlternateContent>
            </w:r>
          </w:p>
          <w:p w:rsidR="00827739" w:rsidRPr="00CA590D" w:rsidRDefault="004D28CC">
            <w:pPr>
              <w:spacing w:after="0" w:line="240" w:lineRule="auto"/>
              <w:jc w:val="center"/>
              <w:rPr>
                <w:rFonts w:ascii="Times New Roman" w:hAnsi="Times New Roman" w:cs="Times New Roman"/>
              </w:rPr>
            </w:pPr>
            <w:r w:rsidRPr="00CA590D">
              <w:rPr>
                <w:rFonts w:ascii="Times New Roman" w:eastAsia="Times New Roman" w:hAnsi="Times New Roman" w:cs="Times New Roman"/>
                <w:sz w:val="24"/>
              </w:rPr>
              <w:t xml:space="preserve"> </w:t>
            </w:r>
          </w:p>
        </w:tc>
        <w:tc>
          <w:tcPr>
            <w:tcW w:w="5978" w:type="dxa"/>
            <w:shd w:val="clear" w:color="000000" w:fill="FFFFFF"/>
            <w:tcMar>
              <w:left w:w="108" w:type="dxa"/>
              <w:right w:w="108" w:type="dxa"/>
            </w:tcMar>
          </w:tcPr>
          <w:p w:rsidR="00827739" w:rsidRPr="00CA590D" w:rsidRDefault="004D28CC">
            <w:pPr>
              <w:spacing w:after="0" w:line="240" w:lineRule="auto"/>
              <w:jc w:val="center"/>
              <w:rPr>
                <w:rFonts w:ascii="Times New Roman" w:eastAsia="Times New Roman" w:hAnsi="Times New Roman" w:cs="Times New Roman"/>
                <w:b/>
                <w:sz w:val="26"/>
              </w:rPr>
            </w:pPr>
            <w:r w:rsidRPr="00CA590D">
              <w:rPr>
                <w:rFonts w:ascii="Times New Roman" w:eastAsia="Times New Roman" w:hAnsi="Times New Roman" w:cs="Times New Roman"/>
                <w:b/>
                <w:sz w:val="26"/>
              </w:rPr>
              <w:t>CỘNG HOÀ XÃ HỘI CHỦ NGHĨA VIỆT NAM</w:t>
            </w:r>
          </w:p>
          <w:p w:rsidR="00827739" w:rsidRPr="00CA590D" w:rsidRDefault="004D28CC">
            <w:pPr>
              <w:spacing w:after="0" w:line="240" w:lineRule="auto"/>
              <w:jc w:val="center"/>
              <w:rPr>
                <w:rFonts w:ascii="Times New Roman" w:eastAsia="Times New Roman" w:hAnsi="Times New Roman" w:cs="Times New Roman"/>
                <w:b/>
                <w:sz w:val="26"/>
              </w:rPr>
            </w:pPr>
            <w:r w:rsidRPr="00CA590D">
              <w:rPr>
                <w:rFonts w:ascii="Times New Roman" w:eastAsia="Times New Roman" w:hAnsi="Times New Roman" w:cs="Times New Roman"/>
                <w:b/>
                <w:sz w:val="26"/>
              </w:rPr>
              <w:t>Độc lập -Tự do -Hạnh phúc</w:t>
            </w:r>
          </w:p>
          <w:p w:rsidR="00827739" w:rsidRPr="00CA590D" w:rsidRDefault="00CA590D">
            <w:pPr>
              <w:spacing w:after="0" w:line="240" w:lineRule="auto"/>
              <w:jc w:val="center"/>
              <w:rPr>
                <w:rFonts w:ascii="Times New Roman" w:eastAsia="Times New Roman" w:hAnsi="Times New Roman" w:cs="Times New Roman"/>
                <w:i/>
                <w:sz w:val="26"/>
              </w:rPr>
            </w:pPr>
            <w:r w:rsidRPr="00CA590D">
              <w:rPr>
                <w:rFonts w:ascii="Times New Roman" w:eastAsia="Times New Roman" w:hAnsi="Times New Roman" w:cs="Times New Roman"/>
                <w:b/>
                <w:noProof/>
                <w:sz w:val="28"/>
              </w:rPr>
              <mc:AlternateContent>
                <mc:Choice Requires="wps">
                  <w:drawing>
                    <wp:anchor distT="0" distB="0" distL="114300" distR="114300" simplePos="0" relativeHeight="251659264" behindDoc="0" locked="0" layoutInCell="1" allowOverlap="1" wp14:anchorId="79ACC4EE" wp14:editId="740BC509">
                      <wp:simplePos x="0" y="0"/>
                      <wp:positionH relativeFrom="column">
                        <wp:posOffset>746760</wp:posOffset>
                      </wp:positionH>
                      <wp:positionV relativeFrom="paragraph">
                        <wp:posOffset>88265</wp:posOffset>
                      </wp:positionV>
                      <wp:extent cx="1981200" cy="0"/>
                      <wp:effectExtent l="7620" t="13970" r="1143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29C63" id="Straight Arrow Connector 3" o:spid="_x0000_s1026" type="#_x0000_t32" style="position:absolute;margin-left:58.8pt;margin-top:6.9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"/>
                  </w:pict>
                </mc:Fallback>
              </mc:AlternateContent>
            </w:r>
            <w:r w:rsidR="004D28CC" w:rsidRPr="00CA590D">
              <w:rPr>
                <w:rFonts w:ascii="Times New Roman" w:eastAsia="Times New Roman" w:hAnsi="Times New Roman" w:cs="Times New Roman"/>
                <w:i/>
                <w:sz w:val="26"/>
              </w:rPr>
              <w:t xml:space="preserve">    </w:t>
            </w:r>
          </w:p>
          <w:p w:rsidR="00827739" w:rsidRPr="00CA590D" w:rsidRDefault="00930047" w:rsidP="002E1430">
            <w:pPr>
              <w:spacing w:after="0" w:line="240" w:lineRule="auto"/>
              <w:jc w:val="center"/>
              <w:rPr>
                <w:rFonts w:ascii="Times New Roman" w:hAnsi="Times New Roman" w:cs="Times New Roman"/>
              </w:rPr>
            </w:pPr>
            <w:r w:rsidRPr="00CA590D">
              <w:rPr>
                <w:rFonts w:ascii="Times New Roman" w:eastAsia="Times New Roman" w:hAnsi="Times New Roman" w:cs="Times New Roman"/>
                <w:i/>
                <w:sz w:val="26"/>
              </w:rPr>
              <w:t xml:space="preserve">Hà Nội, ngày </w:t>
            </w:r>
            <w:r w:rsidR="00C94373">
              <w:rPr>
                <w:rFonts w:ascii="Times New Roman" w:eastAsia="Times New Roman" w:hAnsi="Times New Roman" w:cs="Times New Roman"/>
                <w:i/>
                <w:sz w:val="26"/>
              </w:rPr>
              <w:t xml:space="preserve">  </w:t>
            </w:r>
            <w:r w:rsidR="004D28CC" w:rsidRPr="00CA590D">
              <w:rPr>
                <w:rFonts w:ascii="Times New Roman" w:eastAsia="Times New Roman" w:hAnsi="Times New Roman" w:cs="Times New Roman"/>
                <w:i/>
                <w:sz w:val="26"/>
              </w:rPr>
              <w:t xml:space="preserve"> tháng </w:t>
            </w:r>
            <w:r w:rsidR="00C94373">
              <w:rPr>
                <w:rFonts w:ascii="Times New Roman" w:eastAsia="Times New Roman" w:hAnsi="Times New Roman" w:cs="Times New Roman"/>
                <w:i/>
                <w:sz w:val="26"/>
              </w:rPr>
              <w:t>11</w:t>
            </w:r>
            <w:r w:rsidR="004D28CC" w:rsidRPr="00CA590D">
              <w:rPr>
                <w:rFonts w:ascii="Times New Roman" w:eastAsia="Times New Roman" w:hAnsi="Times New Roman" w:cs="Times New Roman"/>
                <w:i/>
                <w:sz w:val="26"/>
              </w:rPr>
              <w:t xml:space="preserve"> năm 202</w:t>
            </w:r>
            <w:r w:rsidR="00526FC9" w:rsidRPr="00CA590D">
              <w:rPr>
                <w:rFonts w:ascii="Times New Roman" w:eastAsia="Times New Roman" w:hAnsi="Times New Roman" w:cs="Times New Roman"/>
                <w:i/>
                <w:sz w:val="26"/>
              </w:rPr>
              <w:t>2</w:t>
            </w:r>
          </w:p>
        </w:tc>
      </w:tr>
    </w:tbl>
    <w:p w:rsidR="00CA590D" w:rsidRPr="008B5F51" w:rsidRDefault="00CA590D" w:rsidP="00CA590D">
      <w:pPr>
        <w:spacing w:after="0" w:line="276" w:lineRule="auto"/>
        <w:jc w:val="center"/>
        <w:rPr>
          <w:rFonts w:ascii="Times New Roman" w:eastAsia="Times New Roman" w:hAnsi="Times New Roman" w:cs="Times New Roman"/>
          <w:b/>
          <w:sz w:val="16"/>
          <w:szCs w:val="16"/>
        </w:rPr>
      </w:pPr>
    </w:p>
    <w:p w:rsidR="0063272C" w:rsidRPr="00E43155" w:rsidRDefault="004D28CC" w:rsidP="008B5F51">
      <w:pPr>
        <w:spacing w:before="60" w:after="60" w:line="288" w:lineRule="auto"/>
        <w:jc w:val="center"/>
        <w:rPr>
          <w:rFonts w:ascii="Times New Roman" w:eastAsia="Times New Roman" w:hAnsi="Times New Roman" w:cs="Times New Roman"/>
          <w:b/>
          <w:sz w:val="27"/>
          <w:szCs w:val="27"/>
        </w:rPr>
      </w:pPr>
      <w:r w:rsidRPr="00E43155">
        <w:rPr>
          <w:rFonts w:ascii="Times New Roman" w:eastAsia="Times New Roman" w:hAnsi="Times New Roman" w:cs="Times New Roman"/>
          <w:b/>
          <w:sz w:val="27"/>
          <w:szCs w:val="27"/>
        </w:rPr>
        <w:t xml:space="preserve">HỒ SƠ YÊU CẦU </w:t>
      </w:r>
    </w:p>
    <w:p w:rsidR="00827739" w:rsidRPr="00E43155" w:rsidRDefault="004D28CC" w:rsidP="008B5F51">
      <w:pPr>
        <w:spacing w:before="60" w:after="60" w:line="288" w:lineRule="auto"/>
        <w:jc w:val="center"/>
        <w:rPr>
          <w:rFonts w:ascii="Times New Roman" w:eastAsia="Calibri" w:hAnsi="Times New Roman" w:cs="Times New Roman"/>
          <w:sz w:val="27"/>
          <w:szCs w:val="27"/>
        </w:rPr>
      </w:pPr>
      <w:r w:rsidRPr="00E43155">
        <w:rPr>
          <w:rFonts w:ascii="Times New Roman" w:eastAsia="Times New Roman" w:hAnsi="Times New Roman" w:cs="Times New Roman"/>
          <w:b/>
          <w:sz w:val="27"/>
          <w:szCs w:val="27"/>
        </w:rPr>
        <w:t>ĐỐI VỚI GÓI THẦU</w:t>
      </w:r>
      <w:r w:rsidR="00097770" w:rsidRPr="00E43155">
        <w:rPr>
          <w:rFonts w:ascii="Times New Roman" w:eastAsia="Times New Roman" w:hAnsi="Times New Roman" w:cs="Times New Roman"/>
          <w:b/>
          <w:sz w:val="27"/>
          <w:szCs w:val="27"/>
        </w:rPr>
        <w:t>:</w:t>
      </w:r>
      <w:r w:rsidRPr="00E43155">
        <w:rPr>
          <w:rFonts w:ascii="Times New Roman" w:eastAsia="Times New Roman" w:hAnsi="Times New Roman" w:cs="Times New Roman"/>
          <w:b/>
          <w:sz w:val="27"/>
          <w:szCs w:val="27"/>
        </w:rPr>
        <w:t xml:space="preserve"> </w:t>
      </w:r>
      <w:r w:rsidR="008916F0">
        <w:rPr>
          <w:rFonts w:ascii="Times New Roman" w:eastAsia="Times New Roman" w:hAnsi="Times New Roman" w:cs="Times New Roman"/>
          <w:b/>
          <w:sz w:val="27"/>
          <w:szCs w:val="27"/>
        </w:rPr>
        <w:t xml:space="preserve">'' TỔ CHỨC ĐÓN ĐOÀN ỦY BAN THƯƠNG MẠI HÀN QUỐC LÀM VIỆC TẠI VIỆT NAM TỪ NGÀY 16 ĐẾN NGÀY 18 THÁNG 11 NĂM 2022 ĐỂ THAM DỰ PHIÊN HỌP LẦN THỨ 7 CỦA TIỂU BAN PHÒNG VỆ THƯƠNG MẠI THỰC THI HIỆP ĐỊNH THƯƠNG MẠI </w:t>
      </w:r>
      <w:r w:rsidR="001778FD">
        <w:rPr>
          <w:rFonts w:ascii="Times New Roman" w:eastAsia="Times New Roman" w:hAnsi="Times New Roman" w:cs="Times New Roman"/>
          <w:b/>
          <w:sz w:val="27"/>
          <w:szCs w:val="27"/>
        </w:rPr>
        <w:t>TỰ DO VIỆT NAM - HÀN QUỐC, PHIÊN HỌP LẦN THỨ 6 CỦA NHÓM CÔNG TÁC PHÒNG VỆ THƯƠNG MẠI VIỆT NAM - HÀN QUỐC THỰC THI BIÊN BẢN GHI NHỚ VỀ HỢP TÁC NĂNG LƯỢNG, CÔNG NGHIỆP VÀ THƯƠNG MẠI VÀ TỌA ĐÀM QUỐC TẾ VỀ PHÒNG VỆ THƯƠNG MẠI VIỆT NAM - HÀN QUỐC''</w:t>
      </w:r>
    </w:p>
    <w:p w:rsidR="00C81FD4" w:rsidRPr="00FD45FD" w:rsidRDefault="004D28CC" w:rsidP="008B5F51">
      <w:pPr>
        <w:spacing w:before="60" w:after="60" w:line="288" w:lineRule="auto"/>
        <w:ind w:firstLine="567"/>
        <w:jc w:val="both"/>
        <w:rPr>
          <w:rFonts w:ascii="Times New Roman" w:eastAsia="Times New Roman" w:hAnsi="Times New Roman" w:cs="Times New Roman"/>
          <w:sz w:val="28"/>
          <w:szCs w:val="27"/>
        </w:rPr>
      </w:pPr>
      <w:r w:rsidRPr="00FD45FD">
        <w:rPr>
          <w:rFonts w:ascii="Times New Roman" w:eastAsia="Times New Roman" w:hAnsi="Times New Roman" w:cs="Times New Roman"/>
          <w:b/>
          <w:color w:val="000000"/>
          <w:sz w:val="28"/>
          <w:szCs w:val="27"/>
          <w:shd w:val="clear" w:color="auto" w:fill="FFFFFF"/>
        </w:rPr>
        <w:t>1. Tên gói thầu</w:t>
      </w:r>
      <w:r w:rsidR="00A631F4">
        <w:rPr>
          <w:rFonts w:ascii="Times New Roman" w:eastAsia="Times New Roman" w:hAnsi="Times New Roman" w:cs="Times New Roman"/>
          <w:color w:val="000000"/>
          <w:sz w:val="28"/>
          <w:szCs w:val="27"/>
          <w:shd w:val="clear" w:color="auto" w:fill="FFFFFF"/>
        </w:rPr>
        <w:t>:</w:t>
      </w:r>
      <w:r w:rsidR="00A631F4" w:rsidRPr="00A631F4">
        <w:rPr>
          <w:rFonts w:ascii="Times New Roman" w:eastAsia="Times New Roman" w:hAnsi="Times New Roman" w:cs="Times New Roman"/>
          <w:sz w:val="28"/>
          <w:szCs w:val="27"/>
        </w:rPr>
        <w:t xml:space="preserve"> ''Tổ chức đón đoàn Ủy ban Thương mại Hàn Quốc làm việc tại Việt Nam từ ngày 16 đến ngày 18 tháng 11 năm 2022 để tham dự phiên họp lần thứ 7 của Tiểu ban phòng vệ thương mại thực thi Hiệp định Thương mại tự do Việt Nam - Hàn Quốc, phiên họp lần thứ 6 của nhóm công tác phòng vệ thương mại Việt Nam - Hàn Quốc thực thi Biên bản ghi nhớ về hợp tác Năng lượng, Công nghiệp và Thương mại và tọa đàm quốc tế về phòng vệ</w:t>
      </w:r>
      <w:r w:rsidR="00A631F4">
        <w:rPr>
          <w:rFonts w:ascii="Times New Roman" w:eastAsia="Times New Roman" w:hAnsi="Times New Roman" w:cs="Times New Roman"/>
          <w:sz w:val="28"/>
          <w:szCs w:val="27"/>
        </w:rPr>
        <w:t xml:space="preserve"> thương mại Việt Nam - Hàn Quốc''</w:t>
      </w:r>
    </w:p>
    <w:p w:rsidR="00827739" w:rsidRPr="00FD45FD" w:rsidRDefault="004D28CC" w:rsidP="008B5F51">
      <w:pPr>
        <w:spacing w:before="60" w:after="60" w:line="288" w:lineRule="auto"/>
        <w:ind w:firstLine="567"/>
        <w:jc w:val="both"/>
        <w:rPr>
          <w:rFonts w:ascii="Times New Roman" w:eastAsia="Times New Roman" w:hAnsi="Times New Roman" w:cs="Times New Roman"/>
          <w:i/>
          <w:color w:val="000000"/>
          <w:sz w:val="28"/>
          <w:szCs w:val="27"/>
          <w:shd w:val="clear" w:color="auto" w:fill="FFFFFF"/>
        </w:rPr>
      </w:pPr>
      <w:r w:rsidRPr="00FD45FD">
        <w:rPr>
          <w:rFonts w:ascii="Times New Roman" w:eastAsia="Times New Roman" w:hAnsi="Times New Roman" w:cs="Times New Roman"/>
          <w:b/>
          <w:color w:val="000000"/>
          <w:sz w:val="28"/>
          <w:szCs w:val="27"/>
          <w:shd w:val="clear" w:color="auto" w:fill="FFFFFF"/>
        </w:rPr>
        <w:t xml:space="preserve">2. Tổng giá trị </w:t>
      </w:r>
      <w:r w:rsidR="0063272C" w:rsidRPr="00FD45FD">
        <w:rPr>
          <w:rFonts w:ascii="Times New Roman" w:eastAsia="Times New Roman" w:hAnsi="Times New Roman" w:cs="Times New Roman"/>
          <w:b/>
          <w:color w:val="000000"/>
          <w:sz w:val="28"/>
          <w:szCs w:val="27"/>
          <w:shd w:val="clear" w:color="auto" w:fill="FFFFFF"/>
        </w:rPr>
        <w:t>gói thầu</w:t>
      </w:r>
      <w:r w:rsidRPr="00FD45FD">
        <w:rPr>
          <w:rFonts w:ascii="Times New Roman" w:eastAsia="Times New Roman" w:hAnsi="Times New Roman" w:cs="Times New Roman"/>
          <w:b/>
          <w:color w:val="000000"/>
          <w:sz w:val="28"/>
          <w:szCs w:val="27"/>
          <w:shd w:val="clear" w:color="auto" w:fill="FFFFFF"/>
        </w:rPr>
        <w:t>:</w:t>
      </w:r>
      <w:r w:rsidRPr="00FD45FD">
        <w:rPr>
          <w:rFonts w:ascii="Times New Roman" w:eastAsia="Times New Roman" w:hAnsi="Times New Roman" w:cs="Times New Roman"/>
          <w:color w:val="000000"/>
          <w:sz w:val="28"/>
          <w:szCs w:val="27"/>
          <w:shd w:val="clear" w:color="auto" w:fill="FFFFFF"/>
        </w:rPr>
        <w:t xml:space="preserve"> 9</w:t>
      </w:r>
      <w:r w:rsidR="00C73652">
        <w:rPr>
          <w:rFonts w:ascii="Times New Roman" w:eastAsia="Times New Roman" w:hAnsi="Times New Roman" w:cs="Times New Roman"/>
          <w:color w:val="000000"/>
          <w:sz w:val="28"/>
          <w:szCs w:val="27"/>
          <w:shd w:val="clear" w:color="auto" w:fill="FFFFFF"/>
        </w:rPr>
        <w:t>7</w:t>
      </w:r>
      <w:r w:rsidRPr="00FD45FD">
        <w:rPr>
          <w:rFonts w:ascii="Times New Roman" w:eastAsia="Times New Roman" w:hAnsi="Times New Roman" w:cs="Times New Roman"/>
          <w:color w:val="000000"/>
          <w:sz w:val="28"/>
          <w:szCs w:val="27"/>
          <w:shd w:val="clear" w:color="auto" w:fill="FFFFFF"/>
        </w:rPr>
        <w:t>.</w:t>
      </w:r>
      <w:r w:rsidR="00C73652">
        <w:rPr>
          <w:rFonts w:ascii="Times New Roman" w:eastAsia="Times New Roman" w:hAnsi="Times New Roman" w:cs="Times New Roman"/>
          <w:color w:val="000000"/>
          <w:sz w:val="28"/>
          <w:szCs w:val="27"/>
          <w:shd w:val="clear" w:color="auto" w:fill="FFFFFF"/>
        </w:rPr>
        <w:t>900</w:t>
      </w:r>
      <w:r w:rsidRPr="00FD45FD">
        <w:rPr>
          <w:rFonts w:ascii="Times New Roman" w:eastAsia="Times New Roman" w:hAnsi="Times New Roman" w:cs="Times New Roman"/>
          <w:color w:val="000000"/>
          <w:sz w:val="28"/>
          <w:szCs w:val="27"/>
          <w:shd w:val="clear" w:color="auto" w:fill="FFFFFF"/>
        </w:rPr>
        <w:t>.</w:t>
      </w:r>
      <w:r w:rsidR="00C73652">
        <w:rPr>
          <w:rFonts w:ascii="Times New Roman" w:eastAsia="Times New Roman" w:hAnsi="Times New Roman" w:cs="Times New Roman"/>
          <w:color w:val="000000"/>
          <w:sz w:val="28"/>
          <w:szCs w:val="27"/>
          <w:shd w:val="clear" w:color="auto" w:fill="FFFFFF"/>
        </w:rPr>
        <w:t>0</w:t>
      </w:r>
      <w:r w:rsidRPr="00FD45FD">
        <w:rPr>
          <w:rFonts w:ascii="Times New Roman" w:eastAsia="Times New Roman" w:hAnsi="Times New Roman" w:cs="Times New Roman"/>
          <w:color w:val="000000"/>
          <w:sz w:val="28"/>
          <w:szCs w:val="27"/>
          <w:shd w:val="clear" w:color="auto" w:fill="FFFFFF"/>
        </w:rPr>
        <w:t>00 đồng</w:t>
      </w:r>
      <w:r w:rsidR="00FD45FD" w:rsidRPr="00FD45FD">
        <w:rPr>
          <w:rFonts w:ascii="Times New Roman" w:eastAsia="Times New Roman" w:hAnsi="Times New Roman" w:cs="Times New Roman"/>
          <w:color w:val="000000"/>
          <w:sz w:val="28"/>
          <w:szCs w:val="27"/>
          <w:shd w:val="clear" w:color="auto" w:fill="FFFFFF"/>
        </w:rPr>
        <w:t xml:space="preserve"> (</w:t>
      </w:r>
      <w:r w:rsidR="00FD45FD" w:rsidRPr="00FD45FD">
        <w:rPr>
          <w:rFonts w:ascii="Times New Roman" w:eastAsia="Times New Roman" w:hAnsi="Times New Roman" w:cs="Times New Roman"/>
          <w:i/>
          <w:color w:val="000000"/>
          <w:sz w:val="28"/>
          <w:szCs w:val="27"/>
          <w:shd w:val="clear" w:color="auto" w:fill="FFFFFF"/>
        </w:rPr>
        <w:t xml:space="preserve">Bằng </w:t>
      </w:r>
      <w:r w:rsidR="00972263">
        <w:rPr>
          <w:rFonts w:ascii="Times New Roman" w:eastAsia="Times New Roman" w:hAnsi="Times New Roman" w:cs="Times New Roman"/>
          <w:i/>
          <w:color w:val="000000"/>
          <w:sz w:val="28"/>
          <w:szCs w:val="27"/>
          <w:shd w:val="clear" w:color="auto" w:fill="FFFFFF"/>
        </w:rPr>
        <w:t>chữ: Chín mươi bảy triệu chín trăm nghìn</w:t>
      </w:r>
      <w:r w:rsidR="00FD45FD" w:rsidRPr="00FD45FD">
        <w:rPr>
          <w:rFonts w:ascii="Times New Roman" w:eastAsia="Times New Roman" w:hAnsi="Times New Roman" w:cs="Times New Roman"/>
          <w:i/>
          <w:color w:val="000000"/>
          <w:sz w:val="28"/>
          <w:szCs w:val="27"/>
          <w:shd w:val="clear" w:color="auto" w:fill="FFFFFF"/>
        </w:rPr>
        <w:t xml:space="preserve"> đồng chẵn ./</w:t>
      </w:r>
      <w:r w:rsidRPr="00FD45FD">
        <w:rPr>
          <w:rFonts w:ascii="Times New Roman" w:eastAsia="Times New Roman" w:hAnsi="Times New Roman" w:cs="Times New Roman"/>
          <w:i/>
          <w:color w:val="000000"/>
          <w:sz w:val="28"/>
          <w:szCs w:val="27"/>
          <w:shd w:val="clear" w:color="auto" w:fill="FFFFFF"/>
        </w:rPr>
        <w:t>.</w:t>
      </w:r>
      <w:r w:rsidR="00FD45FD" w:rsidRPr="00FD45FD">
        <w:rPr>
          <w:rFonts w:ascii="Times New Roman" w:eastAsia="Times New Roman" w:hAnsi="Times New Roman" w:cs="Times New Roman"/>
          <w:i/>
          <w:color w:val="000000"/>
          <w:sz w:val="28"/>
          <w:szCs w:val="27"/>
          <w:shd w:val="clear" w:color="auto" w:fill="FFFFFF"/>
        </w:rPr>
        <w:t>)</w:t>
      </w:r>
    </w:p>
    <w:p w:rsidR="008D2283" w:rsidRPr="00FD45FD" w:rsidRDefault="008D2283" w:rsidP="008B5F51">
      <w:pPr>
        <w:spacing w:before="60" w:after="60" w:line="288" w:lineRule="auto"/>
        <w:ind w:firstLine="567"/>
        <w:jc w:val="both"/>
        <w:rPr>
          <w:rFonts w:ascii="Times New Roman" w:eastAsia="Times New Roman" w:hAnsi="Times New Roman" w:cs="Times New Roman"/>
          <w:b/>
          <w:color w:val="000000"/>
          <w:sz w:val="28"/>
          <w:szCs w:val="27"/>
          <w:shd w:val="clear" w:color="auto" w:fill="FFFFFF"/>
        </w:rPr>
      </w:pPr>
      <w:r w:rsidRPr="00FD45FD">
        <w:rPr>
          <w:rFonts w:ascii="Times New Roman" w:eastAsia="Times New Roman" w:hAnsi="Times New Roman" w:cs="Times New Roman"/>
          <w:b/>
          <w:color w:val="000000"/>
          <w:sz w:val="28"/>
          <w:szCs w:val="27"/>
          <w:shd w:val="clear" w:color="auto" w:fill="FFFFFF"/>
        </w:rPr>
        <w:t>3. Ti</w:t>
      </w:r>
      <w:r w:rsidR="008B5F51" w:rsidRPr="00FD45FD">
        <w:rPr>
          <w:rFonts w:ascii="Times New Roman" w:eastAsia="Times New Roman" w:hAnsi="Times New Roman" w:cs="Times New Roman"/>
          <w:b/>
          <w:color w:val="000000"/>
          <w:sz w:val="28"/>
          <w:szCs w:val="27"/>
          <w:shd w:val="clear" w:color="auto" w:fill="FFFFFF"/>
        </w:rPr>
        <w:t>êu chuẩn đánh giá Hồ sơ dự thầu</w:t>
      </w:r>
    </w:p>
    <w:p w:rsidR="008D2283" w:rsidRPr="00FD45FD" w:rsidRDefault="008D2283"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3.1</w:t>
      </w:r>
      <w:r w:rsidR="005137B7" w:rsidRPr="00FD45FD">
        <w:rPr>
          <w:rFonts w:ascii="Times New Roman" w:eastAsia="Times New Roman" w:hAnsi="Times New Roman" w:cs="Times New Roman"/>
          <w:color w:val="000000"/>
          <w:sz w:val="28"/>
          <w:szCs w:val="27"/>
          <w:shd w:val="clear" w:color="auto" w:fill="FFFFFF"/>
        </w:rPr>
        <w:t>.</w:t>
      </w:r>
      <w:r w:rsidRPr="00FD45FD">
        <w:rPr>
          <w:rFonts w:ascii="Times New Roman" w:eastAsia="Times New Roman" w:hAnsi="Times New Roman" w:cs="Times New Roman"/>
          <w:color w:val="000000"/>
          <w:sz w:val="28"/>
          <w:szCs w:val="27"/>
          <w:shd w:val="clear" w:color="auto" w:fill="FFFFFF"/>
        </w:rPr>
        <w:t xml:space="preserve"> Tiêu chuẩn đánh giá tính hợp lệ của hồ sơ </w:t>
      </w:r>
      <w:r w:rsidR="00696AFE" w:rsidRPr="00FD45FD">
        <w:rPr>
          <w:rFonts w:ascii="Times New Roman" w:eastAsia="Times New Roman" w:hAnsi="Times New Roman" w:cs="Times New Roman"/>
          <w:color w:val="000000"/>
          <w:sz w:val="28"/>
          <w:szCs w:val="27"/>
          <w:shd w:val="clear" w:color="auto" w:fill="FFFFFF"/>
        </w:rPr>
        <w:t>yêu cầu</w:t>
      </w:r>
    </w:p>
    <w:p w:rsidR="00696AFE" w:rsidRPr="00FD45FD" w:rsidRDefault="00696AFE"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 xml:space="preserve">Nhà thầu đưa ra giá phù hợp, đưa ra đề xuất phù hợp </w:t>
      </w:r>
    </w:p>
    <w:p w:rsidR="00696AFE" w:rsidRPr="00FD45FD" w:rsidRDefault="00696AFE"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 xml:space="preserve">Nhà thầu </w:t>
      </w:r>
      <w:r w:rsidR="006828E8" w:rsidRPr="00FD45FD">
        <w:rPr>
          <w:rFonts w:ascii="Times New Roman" w:eastAsia="Times New Roman" w:hAnsi="Times New Roman" w:cs="Times New Roman"/>
          <w:color w:val="000000"/>
          <w:sz w:val="28"/>
          <w:szCs w:val="27"/>
          <w:shd w:val="clear" w:color="auto" w:fill="FFFFFF"/>
        </w:rPr>
        <w:t xml:space="preserve">bảo đảm tư cách hợp lệ tại </w:t>
      </w:r>
      <w:r w:rsidR="00E41BED">
        <w:rPr>
          <w:rFonts w:ascii="Times New Roman" w:eastAsia="Times New Roman" w:hAnsi="Times New Roman" w:cs="Times New Roman"/>
          <w:color w:val="000000"/>
          <w:sz w:val="28"/>
          <w:szCs w:val="27"/>
          <w:shd w:val="clear" w:color="auto" w:fill="FFFFFF"/>
        </w:rPr>
        <w:t>Hồ sơ yêu cầu (</w:t>
      </w:r>
      <w:r w:rsidR="00FD45FD" w:rsidRPr="00FD45FD">
        <w:rPr>
          <w:rFonts w:ascii="Times New Roman" w:eastAsia="Times New Roman" w:hAnsi="Times New Roman" w:cs="Times New Roman"/>
          <w:color w:val="000000"/>
          <w:sz w:val="28"/>
          <w:szCs w:val="27"/>
          <w:shd w:val="clear" w:color="auto" w:fill="FFFFFF"/>
        </w:rPr>
        <w:t xml:space="preserve">gọi tắt là </w:t>
      </w:r>
      <w:r w:rsidR="006828E8" w:rsidRPr="00FD45FD">
        <w:rPr>
          <w:rFonts w:ascii="Times New Roman" w:eastAsia="Times New Roman" w:hAnsi="Times New Roman" w:cs="Times New Roman"/>
          <w:color w:val="000000"/>
          <w:sz w:val="28"/>
          <w:szCs w:val="27"/>
          <w:shd w:val="clear" w:color="auto" w:fill="FFFFFF"/>
        </w:rPr>
        <w:t>HSYC</w:t>
      </w:r>
      <w:r w:rsidR="00FD45FD" w:rsidRPr="00FD45FD">
        <w:rPr>
          <w:rFonts w:ascii="Times New Roman" w:eastAsia="Times New Roman" w:hAnsi="Times New Roman" w:cs="Times New Roman"/>
          <w:color w:val="000000"/>
          <w:sz w:val="28"/>
          <w:szCs w:val="27"/>
          <w:shd w:val="clear" w:color="auto" w:fill="FFFFFF"/>
        </w:rPr>
        <w:t xml:space="preserve">) </w:t>
      </w:r>
      <w:r w:rsidRPr="00FD45FD">
        <w:rPr>
          <w:rFonts w:ascii="Times New Roman" w:eastAsia="Times New Roman" w:hAnsi="Times New Roman" w:cs="Times New Roman"/>
          <w:color w:val="000000"/>
          <w:sz w:val="28"/>
          <w:szCs w:val="27"/>
          <w:shd w:val="clear" w:color="auto" w:fill="FFFFFF"/>
        </w:rPr>
        <w:t>sẽ được xem xét, đánh giá các bước tiếp theo.</w:t>
      </w:r>
    </w:p>
    <w:p w:rsidR="00696AFE" w:rsidRPr="00FD45FD" w:rsidRDefault="00987E79"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3.2</w:t>
      </w:r>
      <w:r w:rsidR="005137B7" w:rsidRPr="00FD45FD">
        <w:rPr>
          <w:rFonts w:ascii="Times New Roman" w:eastAsia="Times New Roman" w:hAnsi="Times New Roman" w:cs="Times New Roman"/>
          <w:color w:val="000000"/>
          <w:sz w:val="28"/>
          <w:szCs w:val="27"/>
          <w:shd w:val="clear" w:color="auto" w:fill="FFFFFF"/>
        </w:rPr>
        <w:t>.</w:t>
      </w:r>
      <w:r w:rsidRPr="00FD45FD">
        <w:rPr>
          <w:rFonts w:ascii="Times New Roman" w:eastAsia="Times New Roman" w:hAnsi="Times New Roman" w:cs="Times New Roman"/>
          <w:color w:val="000000"/>
          <w:sz w:val="28"/>
          <w:szCs w:val="27"/>
          <w:shd w:val="clear" w:color="auto" w:fill="FFFFFF"/>
        </w:rPr>
        <w:t xml:space="preserve"> Tiêu chuẩn đánh</w:t>
      </w:r>
      <w:r w:rsidR="00696AFE" w:rsidRPr="00FD45FD">
        <w:rPr>
          <w:rFonts w:ascii="Times New Roman" w:eastAsia="Times New Roman" w:hAnsi="Times New Roman" w:cs="Times New Roman"/>
          <w:color w:val="000000"/>
          <w:sz w:val="28"/>
          <w:szCs w:val="27"/>
          <w:shd w:val="clear" w:color="auto" w:fill="FFFFFF"/>
        </w:rPr>
        <w:t xml:space="preserve"> giá về năng lực và kinh nghiệm</w:t>
      </w:r>
    </w:p>
    <w:p w:rsidR="00696AFE" w:rsidRPr="00FD45FD" w:rsidRDefault="00696AFE"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Yêu cầu nhà thầu có k</w:t>
      </w:r>
      <w:r w:rsidR="00B1636B">
        <w:rPr>
          <w:rFonts w:ascii="Times New Roman" w:eastAsia="Times New Roman" w:hAnsi="Times New Roman" w:cs="Times New Roman"/>
          <w:color w:val="000000"/>
          <w:sz w:val="28"/>
          <w:szCs w:val="27"/>
          <w:shd w:val="clear" w:color="auto" w:fill="FFFFFF"/>
        </w:rPr>
        <w:t>inh nghiệm</w:t>
      </w:r>
      <w:r w:rsidR="009522C6">
        <w:rPr>
          <w:rFonts w:ascii="Times New Roman" w:eastAsia="Times New Roman" w:hAnsi="Times New Roman" w:cs="Times New Roman"/>
          <w:color w:val="000000"/>
          <w:sz w:val="28"/>
          <w:szCs w:val="27"/>
          <w:shd w:val="clear" w:color="auto" w:fill="FFFFFF"/>
        </w:rPr>
        <w:t xml:space="preserve"> trong lĩnh vực tổ chức</w:t>
      </w:r>
      <w:r w:rsidR="00B1636B">
        <w:rPr>
          <w:rFonts w:ascii="Times New Roman" w:eastAsia="Times New Roman" w:hAnsi="Times New Roman" w:cs="Times New Roman"/>
          <w:color w:val="000000"/>
          <w:sz w:val="28"/>
          <w:szCs w:val="27"/>
          <w:shd w:val="clear" w:color="auto" w:fill="FFFFFF"/>
        </w:rPr>
        <w:t xml:space="preserve"> hội nghị,</w:t>
      </w:r>
      <w:r w:rsidR="009522C6">
        <w:rPr>
          <w:rFonts w:ascii="Times New Roman" w:eastAsia="Times New Roman" w:hAnsi="Times New Roman" w:cs="Times New Roman"/>
          <w:color w:val="000000"/>
          <w:sz w:val="28"/>
          <w:szCs w:val="27"/>
          <w:shd w:val="clear" w:color="auto" w:fill="FFFFFF"/>
        </w:rPr>
        <w:t xml:space="preserve"> sự kiện</w:t>
      </w:r>
      <w:bookmarkStart w:id="0" w:name="_GoBack"/>
      <w:bookmarkEnd w:id="0"/>
      <w:r w:rsidR="00FD45FD" w:rsidRPr="00FD45FD">
        <w:rPr>
          <w:rFonts w:ascii="Times New Roman" w:eastAsia="Times New Roman" w:hAnsi="Times New Roman" w:cs="Times New Roman"/>
          <w:color w:val="000000"/>
          <w:sz w:val="28"/>
          <w:szCs w:val="27"/>
          <w:shd w:val="clear" w:color="auto" w:fill="FFFFFF"/>
        </w:rPr>
        <w:t>.</w:t>
      </w:r>
      <w:r w:rsidR="002E1430" w:rsidRPr="00FD45FD">
        <w:rPr>
          <w:rFonts w:ascii="Times New Roman" w:eastAsia="Times New Roman" w:hAnsi="Times New Roman" w:cs="Times New Roman"/>
          <w:color w:val="000000"/>
          <w:sz w:val="28"/>
          <w:szCs w:val="27"/>
          <w:shd w:val="clear" w:color="auto" w:fill="FFFFFF"/>
        </w:rPr>
        <w:t xml:space="preserve"> </w:t>
      </w:r>
    </w:p>
    <w:p w:rsidR="00987E79" w:rsidRPr="00FD45FD" w:rsidRDefault="00987E79"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3.3</w:t>
      </w:r>
      <w:r w:rsidR="005137B7" w:rsidRPr="00FD45FD">
        <w:rPr>
          <w:rFonts w:ascii="Times New Roman" w:eastAsia="Times New Roman" w:hAnsi="Times New Roman" w:cs="Times New Roman"/>
          <w:color w:val="000000"/>
          <w:sz w:val="28"/>
          <w:szCs w:val="27"/>
          <w:shd w:val="clear" w:color="auto" w:fill="FFFFFF"/>
        </w:rPr>
        <w:t>.</w:t>
      </w:r>
      <w:r w:rsidRPr="00FD45FD">
        <w:rPr>
          <w:rFonts w:ascii="Times New Roman" w:eastAsia="Times New Roman" w:hAnsi="Times New Roman" w:cs="Times New Roman"/>
          <w:color w:val="000000"/>
          <w:sz w:val="28"/>
          <w:szCs w:val="27"/>
          <w:shd w:val="clear" w:color="auto" w:fill="FFFFFF"/>
        </w:rPr>
        <w:t xml:space="preserve"> Tiêu chuẩn đánh giá về giá</w:t>
      </w:r>
    </w:p>
    <w:p w:rsidR="00987E79" w:rsidRPr="00FD45FD" w:rsidRDefault="00987E79"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Căn cứ tính chất, quy mô của gói thầu lựa</w:t>
      </w:r>
      <w:r w:rsidR="0063272C" w:rsidRPr="00FD45FD">
        <w:rPr>
          <w:rFonts w:ascii="Times New Roman" w:eastAsia="Times New Roman" w:hAnsi="Times New Roman" w:cs="Times New Roman"/>
          <w:color w:val="000000"/>
          <w:sz w:val="28"/>
          <w:szCs w:val="27"/>
          <w:shd w:val="clear" w:color="auto" w:fill="FFFFFF"/>
        </w:rPr>
        <w:t xml:space="preserve"> chọn phương pháp giá thấp nhất. </w:t>
      </w:r>
      <w:r w:rsidRPr="00FD45FD">
        <w:rPr>
          <w:rFonts w:ascii="Times New Roman" w:eastAsia="Times New Roman" w:hAnsi="Times New Roman" w:cs="Times New Roman"/>
          <w:color w:val="000000"/>
          <w:sz w:val="28"/>
          <w:szCs w:val="27"/>
          <w:shd w:val="clear" w:color="auto" w:fill="FFFFFF"/>
        </w:rPr>
        <w:t>Cách xác định giá thấp nhất theo các bước sau đây:</w:t>
      </w:r>
    </w:p>
    <w:p w:rsidR="00987E79" w:rsidRPr="00FD45FD" w:rsidRDefault="00987E79"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Bước 1. Xác định giá dự thầu, giá dự thầu sau giảm giá (nếu có);</w:t>
      </w:r>
    </w:p>
    <w:p w:rsidR="00987E79" w:rsidRPr="00FD45FD" w:rsidRDefault="00987E79" w:rsidP="008B5F51">
      <w:pPr>
        <w:spacing w:before="60" w:after="60" w:line="288" w:lineRule="auto"/>
        <w:ind w:firstLine="567"/>
        <w:jc w:val="both"/>
        <w:rPr>
          <w:rFonts w:ascii="Times New Roman" w:eastAsia="Times New Roman" w:hAnsi="Times New Roman" w:cs="Times New Roman"/>
          <w:color w:val="000000"/>
          <w:sz w:val="28"/>
          <w:szCs w:val="27"/>
          <w:shd w:val="clear" w:color="auto" w:fill="FFFFFF"/>
        </w:rPr>
      </w:pPr>
      <w:r w:rsidRPr="00FD45FD">
        <w:rPr>
          <w:rFonts w:ascii="Times New Roman" w:eastAsia="Times New Roman" w:hAnsi="Times New Roman" w:cs="Times New Roman"/>
          <w:color w:val="000000"/>
          <w:sz w:val="28"/>
          <w:szCs w:val="27"/>
          <w:shd w:val="clear" w:color="auto" w:fill="FFFFFF"/>
        </w:rPr>
        <w:t xml:space="preserve">Bước 2. Xếp hạng nhà thầu: </w:t>
      </w:r>
      <w:r w:rsidR="00FD45FD" w:rsidRPr="00FD45FD">
        <w:rPr>
          <w:rFonts w:ascii="Times New Roman" w:eastAsia="Times New Roman" w:hAnsi="Times New Roman" w:cs="Times New Roman"/>
          <w:color w:val="000000"/>
          <w:sz w:val="28"/>
          <w:szCs w:val="27"/>
          <w:shd w:val="clear" w:color="auto" w:fill="FFFFFF"/>
        </w:rPr>
        <w:t xml:space="preserve">Hồ sơ dự thầu (gọi tắt là </w:t>
      </w:r>
      <w:r w:rsidRPr="00FD45FD">
        <w:rPr>
          <w:rFonts w:ascii="Times New Roman" w:eastAsia="Times New Roman" w:hAnsi="Times New Roman" w:cs="Times New Roman"/>
          <w:color w:val="000000"/>
          <w:sz w:val="28"/>
          <w:szCs w:val="27"/>
          <w:shd w:val="clear" w:color="auto" w:fill="FFFFFF"/>
        </w:rPr>
        <w:t>HSDT</w:t>
      </w:r>
      <w:r w:rsidR="00FD45FD" w:rsidRPr="00FD45FD">
        <w:rPr>
          <w:rFonts w:ascii="Times New Roman" w:eastAsia="Times New Roman" w:hAnsi="Times New Roman" w:cs="Times New Roman"/>
          <w:color w:val="000000"/>
          <w:sz w:val="28"/>
          <w:szCs w:val="27"/>
          <w:shd w:val="clear" w:color="auto" w:fill="FFFFFF"/>
        </w:rPr>
        <w:t>)</w:t>
      </w:r>
      <w:r w:rsidRPr="00FD45FD">
        <w:rPr>
          <w:rFonts w:ascii="Times New Roman" w:eastAsia="Times New Roman" w:hAnsi="Times New Roman" w:cs="Times New Roman"/>
          <w:color w:val="000000"/>
          <w:sz w:val="28"/>
          <w:szCs w:val="27"/>
          <w:shd w:val="clear" w:color="auto" w:fill="FFFFFF"/>
        </w:rPr>
        <w:t xml:space="preserve"> có giá dự thầu sau khi trừ giá trị g</w:t>
      </w:r>
      <w:r w:rsidR="006E1EC8" w:rsidRPr="00FD45FD">
        <w:rPr>
          <w:rFonts w:ascii="Times New Roman" w:eastAsia="Times New Roman" w:hAnsi="Times New Roman" w:cs="Times New Roman"/>
          <w:color w:val="000000"/>
          <w:sz w:val="28"/>
          <w:szCs w:val="27"/>
          <w:shd w:val="clear" w:color="auto" w:fill="FFFFFF"/>
        </w:rPr>
        <w:t>iảm giá (nếu có) thấp nhất được xếp hạng thứ nhất.</w:t>
      </w:r>
    </w:p>
    <w:p w:rsidR="004D28CC" w:rsidRPr="00FD45FD" w:rsidRDefault="008D2283" w:rsidP="008B5F51">
      <w:pPr>
        <w:spacing w:before="60" w:after="60" w:line="288" w:lineRule="auto"/>
        <w:ind w:firstLine="567"/>
        <w:jc w:val="both"/>
        <w:rPr>
          <w:rFonts w:ascii="Times New Roman" w:eastAsia="Times New Roman" w:hAnsi="Times New Roman" w:cs="Times New Roman"/>
          <w:b/>
          <w:color w:val="000000"/>
          <w:sz w:val="28"/>
          <w:szCs w:val="27"/>
          <w:shd w:val="clear" w:color="auto" w:fill="FFFFFF"/>
        </w:rPr>
      </w:pPr>
      <w:r w:rsidRPr="00FD45FD">
        <w:rPr>
          <w:rFonts w:ascii="Times New Roman" w:eastAsia="Times New Roman" w:hAnsi="Times New Roman" w:cs="Times New Roman"/>
          <w:b/>
          <w:color w:val="000000"/>
          <w:sz w:val="28"/>
          <w:szCs w:val="27"/>
          <w:shd w:val="clear" w:color="auto" w:fill="FFFFFF"/>
        </w:rPr>
        <w:lastRenderedPageBreak/>
        <w:t>4</w:t>
      </w:r>
      <w:r w:rsidR="0063272C" w:rsidRPr="00FD45FD">
        <w:rPr>
          <w:rFonts w:ascii="Times New Roman" w:eastAsia="Times New Roman" w:hAnsi="Times New Roman" w:cs="Times New Roman"/>
          <w:b/>
          <w:color w:val="000000"/>
          <w:sz w:val="28"/>
          <w:szCs w:val="27"/>
          <w:shd w:val="clear" w:color="auto" w:fill="FFFFFF"/>
        </w:rPr>
        <w:t>. Số lượng, tiêu chuẩn kỹ thuật</w:t>
      </w:r>
    </w:p>
    <w:tbl>
      <w:tblPr>
        <w:tblW w:w="9500" w:type="dxa"/>
        <w:tblLook w:val="04A0" w:firstRow="1" w:lastRow="0" w:firstColumn="1" w:lastColumn="0" w:noHBand="0" w:noVBand="1"/>
      </w:tblPr>
      <w:tblGrid>
        <w:gridCol w:w="640"/>
        <w:gridCol w:w="1840"/>
        <w:gridCol w:w="4860"/>
        <w:gridCol w:w="1000"/>
        <w:gridCol w:w="1160"/>
      </w:tblGrid>
      <w:tr w:rsidR="007B57D1" w:rsidRPr="007B57D1" w:rsidTr="00430AEC">
        <w:trPr>
          <w:trHeight w:val="540"/>
          <w:tblHeader/>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57D1" w:rsidRPr="007B57D1" w:rsidRDefault="00697BC7" w:rsidP="007B57D1">
            <w:pPr>
              <w:spacing w:after="0" w:line="240" w:lineRule="auto"/>
              <w:jc w:val="center"/>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Mục</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7B57D1" w:rsidRPr="007B57D1" w:rsidRDefault="007B57D1" w:rsidP="007B57D1">
            <w:pPr>
              <w:spacing w:after="0" w:line="240" w:lineRule="auto"/>
              <w:jc w:val="center"/>
              <w:rPr>
                <w:rFonts w:ascii="Times New Roman" w:eastAsia="Times New Roman" w:hAnsi="Times New Roman" w:cs="Times New Roman"/>
                <w:b/>
                <w:bCs/>
                <w:iCs/>
                <w:sz w:val="20"/>
                <w:szCs w:val="20"/>
              </w:rPr>
            </w:pPr>
            <w:r w:rsidRPr="007B57D1">
              <w:rPr>
                <w:rFonts w:ascii="Times New Roman" w:eastAsia="Times New Roman" w:hAnsi="Times New Roman" w:cs="Times New Roman"/>
                <w:b/>
                <w:bCs/>
                <w:iCs/>
                <w:sz w:val="20"/>
                <w:szCs w:val="20"/>
              </w:rPr>
              <w:t>Hạng mục</w:t>
            </w:r>
          </w:p>
        </w:tc>
        <w:tc>
          <w:tcPr>
            <w:tcW w:w="4860" w:type="dxa"/>
            <w:tcBorders>
              <w:top w:val="single" w:sz="4" w:space="0" w:color="auto"/>
              <w:left w:val="nil"/>
              <w:bottom w:val="single" w:sz="4" w:space="0" w:color="auto"/>
              <w:right w:val="single" w:sz="4" w:space="0" w:color="auto"/>
            </w:tcBorders>
            <w:shd w:val="clear" w:color="000000" w:fill="FFFFFF"/>
            <w:noWrap/>
            <w:vAlign w:val="center"/>
            <w:hideMark/>
          </w:tcPr>
          <w:p w:rsidR="007B57D1" w:rsidRPr="007B57D1" w:rsidRDefault="007B57D1" w:rsidP="007B57D1">
            <w:pPr>
              <w:spacing w:after="0" w:line="240" w:lineRule="auto"/>
              <w:jc w:val="center"/>
              <w:rPr>
                <w:rFonts w:ascii="Times New Roman" w:eastAsia="Times New Roman" w:hAnsi="Times New Roman" w:cs="Times New Roman"/>
                <w:b/>
                <w:bCs/>
                <w:iCs/>
                <w:sz w:val="20"/>
                <w:szCs w:val="20"/>
              </w:rPr>
            </w:pPr>
            <w:r w:rsidRPr="007B57D1">
              <w:rPr>
                <w:rFonts w:ascii="Times New Roman" w:eastAsia="Times New Roman" w:hAnsi="Times New Roman" w:cs="Times New Roman"/>
                <w:b/>
                <w:bCs/>
                <w:iCs/>
                <w:sz w:val="20"/>
                <w:szCs w:val="20"/>
              </w:rPr>
              <w:t>Nội dung dịch vụ</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b/>
                <w:bCs/>
                <w:iCs/>
                <w:sz w:val="20"/>
                <w:szCs w:val="20"/>
              </w:rPr>
            </w:pPr>
            <w:r w:rsidRPr="007B57D1">
              <w:rPr>
                <w:rFonts w:ascii="Times New Roman" w:eastAsia="Times New Roman" w:hAnsi="Times New Roman" w:cs="Times New Roman"/>
                <w:b/>
                <w:bCs/>
                <w:iCs/>
                <w:sz w:val="20"/>
                <w:szCs w:val="20"/>
              </w:rPr>
              <w:t>ĐVT</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b/>
                <w:bCs/>
                <w:iCs/>
                <w:sz w:val="20"/>
                <w:szCs w:val="20"/>
              </w:rPr>
            </w:pPr>
            <w:r w:rsidRPr="007B57D1">
              <w:rPr>
                <w:rFonts w:ascii="Times New Roman" w:eastAsia="Times New Roman" w:hAnsi="Times New Roman" w:cs="Times New Roman"/>
                <w:b/>
                <w:bCs/>
                <w:iCs/>
                <w:sz w:val="20"/>
                <w:szCs w:val="20"/>
              </w:rPr>
              <w:t>Số lượng</w:t>
            </w:r>
          </w:p>
        </w:tc>
      </w:tr>
      <w:tr w:rsidR="007B57D1" w:rsidRPr="007B57D1" w:rsidTr="007B57D1">
        <w:trPr>
          <w:trHeight w:val="315"/>
        </w:trPr>
        <w:tc>
          <w:tcPr>
            <w:tcW w:w="640" w:type="dxa"/>
            <w:tcBorders>
              <w:top w:val="nil"/>
              <w:left w:val="single" w:sz="4" w:space="0" w:color="auto"/>
              <w:bottom w:val="nil"/>
              <w:right w:val="single" w:sz="4" w:space="0" w:color="auto"/>
            </w:tcBorders>
            <w:shd w:val="clear" w:color="000000" w:fill="FFFFFF"/>
            <w:noWrap/>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I</w:t>
            </w:r>
          </w:p>
        </w:tc>
        <w:tc>
          <w:tcPr>
            <w:tcW w:w="77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B57D1" w:rsidRPr="007B57D1" w:rsidRDefault="007B57D1" w:rsidP="007B57D1">
            <w:pPr>
              <w:spacing w:after="0" w:line="240" w:lineRule="auto"/>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Đưa đón đại biểu và đưa đoàn khách nước ngoài đi tham quan</w:t>
            </w:r>
          </w:p>
        </w:tc>
        <w:tc>
          <w:tcPr>
            <w:tcW w:w="1160" w:type="dxa"/>
            <w:tcBorders>
              <w:top w:val="nil"/>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 </w:t>
            </w:r>
          </w:p>
        </w:tc>
      </w:tr>
      <w:tr w:rsidR="007B57D1" w:rsidRPr="007B57D1" w:rsidTr="007B57D1">
        <w:trPr>
          <w:trHeight w:val="630"/>
        </w:trPr>
        <w:tc>
          <w:tcPr>
            <w:tcW w:w="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Thuê xe 16 chỗ đón đại biểu tại sân bay (Hà Nội - Nội Bài - Ninh Bình)</w:t>
            </w:r>
          </w:p>
        </w:tc>
        <w:tc>
          <w:tcPr>
            <w:tcW w:w="100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Chuyến</w:t>
            </w:r>
          </w:p>
        </w:tc>
        <w:tc>
          <w:tcPr>
            <w:tcW w:w="11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630"/>
        </w:trPr>
        <w:tc>
          <w:tcPr>
            <w:tcW w:w="6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Thuê xe 16 chỗ đưa đón đại biểu (Ninh Bình -Hà Nội)</w:t>
            </w:r>
          </w:p>
        </w:tc>
        <w:tc>
          <w:tcPr>
            <w:tcW w:w="100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Chuyến</w:t>
            </w:r>
          </w:p>
        </w:tc>
        <w:tc>
          <w:tcPr>
            <w:tcW w:w="11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630"/>
        </w:trPr>
        <w:tc>
          <w:tcPr>
            <w:tcW w:w="6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Thuê xe 16 chỗ tiễn đại biểu tại sân bay (Hà Nội - Nội Bài - Hà Nội)</w:t>
            </w:r>
          </w:p>
        </w:tc>
        <w:tc>
          <w:tcPr>
            <w:tcW w:w="100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Chuyến</w:t>
            </w:r>
          </w:p>
        </w:tc>
        <w:tc>
          <w:tcPr>
            <w:tcW w:w="11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63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Chi phí đưa khách đi tham quan (dự kiến 13 người: phía bạn 10 người, ban tổ chức 3 người)</w:t>
            </w:r>
          </w:p>
        </w:tc>
        <w:tc>
          <w:tcPr>
            <w:tcW w:w="100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Gói</w:t>
            </w:r>
          </w:p>
        </w:tc>
        <w:tc>
          <w:tcPr>
            <w:tcW w:w="11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13</w:t>
            </w:r>
          </w:p>
        </w:tc>
      </w:tr>
      <w:tr w:rsidR="007B57D1" w:rsidRPr="007B57D1" w:rsidTr="007B57D1">
        <w:trPr>
          <w:trHeight w:val="219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II</w:t>
            </w:r>
          </w:p>
        </w:tc>
        <w:tc>
          <w:tcPr>
            <w:tcW w:w="6700" w:type="dxa"/>
            <w:gridSpan w:val="2"/>
            <w:tcBorders>
              <w:top w:val="single" w:sz="4" w:space="0" w:color="auto"/>
              <w:left w:val="nil"/>
              <w:bottom w:val="single" w:sz="4" w:space="0" w:color="auto"/>
              <w:right w:val="single" w:sz="4" w:space="0" w:color="000000"/>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 xml:space="preserve">Tổ chức phiên họp lần thứ 7 của Tiểu ban phòng vệ thương mại thực thi Hiệp định Thương mại tự do Việt Nam – Hàn Quốc, phiên họp lần thứ 6 của nhóm công tác phòng vệ thương mại Việt Nam – Hàn Quốc thực thi Biên bản ghi nhớ về hợp tác Năng lượng, Công nghiệp và Thương mại </w:t>
            </w:r>
            <w:r w:rsidRPr="007B57D1">
              <w:rPr>
                <w:rFonts w:ascii="Times New Roman" w:eastAsia="Times New Roman" w:hAnsi="Times New Roman" w:cs="Times New Roman"/>
                <w:b/>
                <w:bCs/>
                <w:i/>
                <w:iCs/>
                <w:sz w:val="24"/>
                <w:szCs w:val="24"/>
              </w:rPr>
              <w:br/>
              <w:t>Thời gian: 1 buổi, dự kiến ngày 17 tháng 11 năm 2022</w:t>
            </w:r>
            <w:r w:rsidRPr="007B57D1">
              <w:rPr>
                <w:rFonts w:ascii="Times New Roman" w:eastAsia="Times New Roman" w:hAnsi="Times New Roman" w:cs="Times New Roman"/>
                <w:b/>
                <w:bCs/>
                <w:i/>
                <w:iCs/>
                <w:sz w:val="24"/>
                <w:szCs w:val="24"/>
              </w:rPr>
              <w:br/>
              <w:t>Địa điểm: Ninh Bình</w:t>
            </w:r>
            <w:r w:rsidRPr="007B57D1">
              <w:rPr>
                <w:rFonts w:ascii="Times New Roman" w:eastAsia="Times New Roman" w:hAnsi="Times New Roman" w:cs="Times New Roman"/>
                <w:b/>
                <w:bCs/>
                <w:i/>
                <w:iCs/>
                <w:sz w:val="24"/>
                <w:szCs w:val="24"/>
              </w:rPr>
              <w:br/>
              <w:t xml:space="preserve">Thành phần: 25 người </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 </w:t>
            </w:r>
          </w:p>
        </w:tc>
      </w:tr>
      <w:tr w:rsidR="007B57D1" w:rsidRPr="007B57D1" w:rsidTr="007B57D1">
        <w:trPr>
          <w:trHeight w:val="12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Thuê hội trường (đã bao gồm hoa trang trí, văn phòng phẩm, 02 mic không dây, 01 mic có dây , biển chỉ dẫn, bảng trắng, biển chỉ dẫn cho khách tại sảnh khách sạn, bục phát biểu, …)</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xml:space="preserve">Buổi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Giải khát giữa giờ</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25</w:t>
            </w:r>
          </w:p>
        </w:tc>
      </w:tr>
      <w:tr w:rsidR="007B57D1" w:rsidRPr="007B57D1" w:rsidTr="007B57D1">
        <w:trPr>
          <w:trHeight w:val="315"/>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Thiết bị, Văn phòng phẩm</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Backdrop</w:t>
            </w:r>
          </w:p>
        </w:tc>
        <w:tc>
          <w:tcPr>
            <w:tcW w:w="100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xml:space="preserve">Cái </w:t>
            </w:r>
          </w:p>
        </w:tc>
        <w:tc>
          <w:tcPr>
            <w:tcW w:w="11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Laptop trình chiếu</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Máy chiếu, màn chiếu, bút trình chiếu</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Flipchart</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Chiếc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2</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Tai nghe dịch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Soundcard chuyển đổi âm thanh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Mixer âm thanh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Cabin dịch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Nhân sự hỗ trợ</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Người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nil"/>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nil"/>
              <w:left w:val="single" w:sz="4" w:space="0" w:color="auto"/>
              <w:bottom w:val="single" w:sz="4" w:space="0" w:color="000000"/>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Vận chuyển thiết bị</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Lượt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1665"/>
        </w:trPr>
        <w:tc>
          <w:tcPr>
            <w:tcW w:w="640" w:type="dxa"/>
            <w:tcBorders>
              <w:top w:val="nil"/>
              <w:left w:val="single" w:sz="4" w:space="0" w:color="auto"/>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III</w:t>
            </w:r>
          </w:p>
        </w:tc>
        <w:tc>
          <w:tcPr>
            <w:tcW w:w="6700" w:type="dxa"/>
            <w:gridSpan w:val="2"/>
            <w:tcBorders>
              <w:top w:val="single" w:sz="4" w:space="0" w:color="auto"/>
              <w:left w:val="nil"/>
              <w:bottom w:val="single" w:sz="4" w:space="0" w:color="auto"/>
              <w:right w:val="single" w:sz="4" w:space="0" w:color="000000"/>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Tổ chức Tọa đàm quốc tế phòng vệ thương mại Việt Nam - Hàn Quốc</w:t>
            </w:r>
            <w:r w:rsidRPr="007B57D1">
              <w:rPr>
                <w:rFonts w:ascii="Times New Roman" w:eastAsia="Times New Roman" w:hAnsi="Times New Roman" w:cs="Times New Roman"/>
                <w:b/>
                <w:bCs/>
                <w:i/>
                <w:iCs/>
                <w:sz w:val="24"/>
                <w:szCs w:val="24"/>
              </w:rPr>
              <w:br/>
              <w:t>Thời gian: 1 buổi, dự kiến buổi chiều ngày 17 tháng 11 năm 2022. Địa điểm: Ninh Bình</w:t>
            </w:r>
            <w:r w:rsidRPr="007B57D1">
              <w:rPr>
                <w:rFonts w:ascii="Times New Roman" w:eastAsia="Times New Roman" w:hAnsi="Times New Roman" w:cs="Times New Roman"/>
                <w:b/>
                <w:bCs/>
                <w:i/>
                <w:iCs/>
                <w:sz w:val="24"/>
                <w:szCs w:val="24"/>
              </w:rPr>
              <w:br/>
              <w:t xml:space="preserve">Thành phần: 45 người </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 </w:t>
            </w:r>
          </w:p>
        </w:tc>
      </w:tr>
      <w:tr w:rsidR="007B57D1" w:rsidRPr="007B57D1" w:rsidTr="007B57D1">
        <w:trPr>
          <w:trHeight w:val="1260"/>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tcBorders>
              <w:top w:val="nil"/>
              <w:left w:val="nil"/>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Thuê hội trường (đã bao gồm hoa trang trí, văn phòng phẩm, 02 mic không dây, 01 mic có dây , biển chỉ dẫn, bảng trắng, biển chỉ dẫn cho khách tại sảnh khách sạn, bục phát biểu, …)</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xml:space="preserve">Buổi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1840" w:type="dxa"/>
            <w:tcBorders>
              <w:top w:val="single" w:sz="4" w:space="0" w:color="auto"/>
              <w:left w:val="nil"/>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Giải khát giữa giờ</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45</w:t>
            </w:r>
          </w:p>
        </w:tc>
      </w:tr>
      <w:tr w:rsidR="007B57D1" w:rsidRPr="007B57D1" w:rsidTr="007B57D1">
        <w:trPr>
          <w:trHeight w:val="315"/>
        </w:trPr>
        <w:tc>
          <w:tcPr>
            <w:tcW w:w="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lastRenderedPageBreak/>
              <w:t> </w:t>
            </w:r>
          </w:p>
        </w:tc>
        <w:tc>
          <w:tcPr>
            <w:tcW w:w="1840" w:type="dxa"/>
            <w:vMerge w:val="restart"/>
            <w:tcBorders>
              <w:top w:val="single" w:sz="4" w:space="0" w:color="auto"/>
              <w:left w:val="single" w:sz="4" w:space="0" w:color="auto"/>
              <w:bottom w:val="nil"/>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Thiết bị, Văn phòng phẩm</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Backdrop</w:t>
            </w:r>
          </w:p>
        </w:tc>
        <w:tc>
          <w:tcPr>
            <w:tcW w:w="100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 xml:space="preserve">Cái </w:t>
            </w:r>
          </w:p>
        </w:tc>
        <w:tc>
          <w:tcPr>
            <w:tcW w:w="11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Laptop trình chiếu</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2</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Máy chiếu, màn chiếu, bút trình chiếu</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2</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Flipchart</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Chiếc</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2</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Tai nghe dịch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Soundcard chuyển đổi âm thanh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Mixer âm thanh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Cabin dịch</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Bộ/buổi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7B57D1">
        <w:trPr>
          <w:trHeight w:val="315"/>
        </w:trPr>
        <w:tc>
          <w:tcPr>
            <w:tcW w:w="6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nil"/>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Vận chuyển thiết bị</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Lượt</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8D789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Nhân sự hỗ trợ</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Người</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sz w:val="24"/>
                <w:szCs w:val="24"/>
              </w:rPr>
            </w:pPr>
            <w:r w:rsidRPr="007B57D1">
              <w:rPr>
                <w:rFonts w:ascii="Times New Roman" w:eastAsia="Times New Roman" w:hAnsi="Times New Roman" w:cs="Times New Roman"/>
                <w:sz w:val="24"/>
                <w:szCs w:val="24"/>
              </w:rPr>
              <w:t>1</w:t>
            </w:r>
          </w:p>
        </w:tc>
      </w:tr>
      <w:tr w:rsidR="007B57D1" w:rsidRPr="007B57D1" w:rsidTr="008D789D">
        <w:trPr>
          <w:trHeight w:val="94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IV</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Thuê xe</w:t>
            </w:r>
          </w:p>
        </w:tc>
        <w:tc>
          <w:tcPr>
            <w:tcW w:w="4860" w:type="dxa"/>
            <w:tcBorders>
              <w:top w:val="nil"/>
              <w:left w:val="nil"/>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Thuê xe 16 chỗ đưa đón đoàn công tác của Việt Nam tham gia các hoạt động (Hà Nội - Ninh Bình - Hà Nội (3 ngày)</w:t>
            </w:r>
          </w:p>
        </w:tc>
        <w:tc>
          <w:tcPr>
            <w:tcW w:w="1000" w:type="dxa"/>
            <w:tcBorders>
              <w:top w:val="nil"/>
              <w:left w:val="nil"/>
              <w:bottom w:val="single" w:sz="4" w:space="0" w:color="auto"/>
              <w:right w:val="nil"/>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Chuyến</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7B57D1" w:rsidRPr="007B57D1" w:rsidRDefault="007B57D1" w:rsidP="007B57D1">
            <w:pPr>
              <w:spacing w:after="0" w:line="240" w:lineRule="auto"/>
              <w:jc w:val="center"/>
              <w:rPr>
                <w:rFonts w:ascii="Times New Roman" w:eastAsia="Times New Roman" w:hAnsi="Times New Roman" w:cs="Times New Roman"/>
                <w:b/>
                <w:bCs/>
                <w:i/>
                <w:iCs/>
                <w:sz w:val="24"/>
                <w:szCs w:val="24"/>
              </w:rPr>
            </w:pPr>
            <w:r w:rsidRPr="007B57D1">
              <w:rPr>
                <w:rFonts w:ascii="Times New Roman" w:eastAsia="Times New Roman" w:hAnsi="Times New Roman" w:cs="Times New Roman"/>
                <w:b/>
                <w:bCs/>
                <w:i/>
                <w:iCs/>
                <w:sz w:val="24"/>
                <w:szCs w:val="24"/>
              </w:rPr>
              <w:t>2</w:t>
            </w:r>
          </w:p>
        </w:tc>
      </w:tr>
    </w:tbl>
    <w:p w:rsidR="00827739" w:rsidRDefault="00827739">
      <w:pPr>
        <w:spacing w:after="150" w:line="240" w:lineRule="auto"/>
        <w:ind w:firstLine="720"/>
        <w:jc w:val="both"/>
        <w:rPr>
          <w:rFonts w:ascii="Times New Roman" w:eastAsia="Times New Roman" w:hAnsi="Times New Roman" w:cs="Times New Roman"/>
          <w:color w:val="000000"/>
          <w:sz w:val="28"/>
          <w:szCs w:val="26"/>
          <w:shd w:val="clear" w:color="auto" w:fill="FFFFFF"/>
        </w:rPr>
      </w:pPr>
    </w:p>
    <w:p w:rsidR="00FD45FD" w:rsidRDefault="00FD45FD">
      <w:pPr>
        <w:spacing w:after="150" w:line="240" w:lineRule="auto"/>
        <w:ind w:firstLine="720"/>
        <w:jc w:val="both"/>
        <w:rPr>
          <w:rFonts w:ascii="Times New Roman" w:eastAsia="Times New Roman" w:hAnsi="Times New Roman" w:cs="Times New Roman"/>
          <w:color w:val="000000"/>
          <w:sz w:val="28"/>
          <w:szCs w:val="26"/>
          <w:shd w:val="clear" w:color="auto" w:fill="FFFFFF"/>
        </w:rPr>
      </w:pPr>
      <w:r>
        <w:rPr>
          <w:rFonts w:ascii="Times New Roman" w:eastAsia="Times New Roman" w:hAnsi="Times New Roman" w:cs="Times New Roman"/>
          <w:noProof/>
          <w:color w:val="000000"/>
          <w:sz w:val="28"/>
          <w:szCs w:val="26"/>
          <w:shd w:val="clear" w:color="auto" w:fill="FFFFFF"/>
        </w:rPr>
        <w:t xml:space="preserve">                                     </w:t>
      </w:r>
      <w:r>
        <w:rPr>
          <w:rFonts w:ascii="Times New Roman" w:eastAsia="Times New Roman" w:hAnsi="Times New Roman" w:cs="Times New Roman"/>
          <w:noProof/>
          <w:color w:val="000000"/>
          <w:sz w:val="28"/>
          <w:szCs w:val="26"/>
          <w:shd w:val="clear" w:color="auto" w:fill="FFFFFF"/>
        </w:rPr>
        <w:drawing>
          <wp:inline distT="0" distB="0" distL="0" distR="0" wp14:anchorId="7AF1D427">
            <wp:extent cx="1987550" cy="12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12065"/>
                    </a:xfrm>
                    <a:prstGeom prst="rect">
                      <a:avLst/>
                    </a:prstGeom>
                    <a:noFill/>
                  </pic:spPr>
                </pic:pic>
              </a:graphicData>
            </a:graphic>
          </wp:inline>
        </w:drawing>
      </w:r>
    </w:p>
    <w:p w:rsidR="00FD45FD" w:rsidRPr="00FD45FD" w:rsidRDefault="00FD45FD">
      <w:pPr>
        <w:spacing w:after="150" w:line="240" w:lineRule="auto"/>
        <w:ind w:firstLine="720"/>
        <w:jc w:val="both"/>
        <w:rPr>
          <w:rFonts w:ascii="Times New Roman" w:eastAsia="Times New Roman" w:hAnsi="Times New Roman" w:cs="Times New Roman"/>
          <w:color w:val="000000"/>
          <w:sz w:val="28"/>
          <w:szCs w:val="26"/>
          <w:shd w:val="clear" w:color="auto" w:fill="FFFFFF"/>
        </w:rPr>
      </w:pPr>
    </w:p>
    <w:sectPr w:rsidR="00FD45FD" w:rsidRPr="00FD45FD" w:rsidSect="00430AEC">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62" w:rsidRDefault="00400062" w:rsidP="00FD45FD">
      <w:pPr>
        <w:spacing w:after="0" w:line="240" w:lineRule="auto"/>
      </w:pPr>
      <w:r>
        <w:separator/>
      </w:r>
    </w:p>
  </w:endnote>
  <w:endnote w:type="continuationSeparator" w:id="0">
    <w:p w:rsidR="00400062" w:rsidRDefault="00400062" w:rsidP="00FD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62" w:rsidRDefault="00400062" w:rsidP="00FD45FD">
      <w:pPr>
        <w:spacing w:after="0" w:line="240" w:lineRule="auto"/>
      </w:pPr>
      <w:r>
        <w:separator/>
      </w:r>
    </w:p>
  </w:footnote>
  <w:footnote w:type="continuationSeparator" w:id="0">
    <w:p w:rsidR="00400062" w:rsidRDefault="00400062" w:rsidP="00FD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38090"/>
      <w:docPartObj>
        <w:docPartGallery w:val="Page Numbers (Top of Page)"/>
        <w:docPartUnique/>
      </w:docPartObj>
    </w:sdtPr>
    <w:sdtEndPr>
      <w:rPr>
        <w:rFonts w:ascii="Times New Roman" w:hAnsi="Times New Roman" w:cs="Times New Roman"/>
        <w:noProof/>
        <w:sz w:val="24"/>
      </w:rPr>
    </w:sdtEndPr>
    <w:sdtContent>
      <w:p w:rsidR="00FD45FD" w:rsidRPr="00FD45FD" w:rsidRDefault="00FD45FD">
        <w:pPr>
          <w:pStyle w:val="Header"/>
          <w:jc w:val="center"/>
          <w:rPr>
            <w:rFonts w:ascii="Times New Roman" w:hAnsi="Times New Roman" w:cs="Times New Roman"/>
            <w:sz w:val="24"/>
          </w:rPr>
        </w:pPr>
        <w:r w:rsidRPr="00FD45FD">
          <w:rPr>
            <w:rFonts w:ascii="Times New Roman" w:hAnsi="Times New Roman" w:cs="Times New Roman"/>
            <w:sz w:val="24"/>
          </w:rPr>
          <w:fldChar w:fldCharType="begin"/>
        </w:r>
        <w:r w:rsidRPr="00FD45FD">
          <w:rPr>
            <w:rFonts w:ascii="Times New Roman" w:hAnsi="Times New Roman" w:cs="Times New Roman"/>
            <w:sz w:val="24"/>
          </w:rPr>
          <w:instrText xml:space="preserve"> PAGE   \* MERGEFORMAT </w:instrText>
        </w:r>
        <w:r w:rsidRPr="00FD45FD">
          <w:rPr>
            <w:rFonts w:ascii="Times New Roman" w:hAnsi="Times New Roman" w:cs="Times New Roman"/>
            <w:sz w:val="24"/>
          </w:rPr>
          <w:fldChar w:fldCharType="separate"/>
        </w:r>
        <w:r w:rsidR="008B4F66">
          <w:rPr>
            <w:rFonts w:ascii="Times New Roman" w:hAnsi="Times New Roman" w:cs="Times New Roman"/>
            <w:noProof/>
            <w:sz w:val="24"/>
          </w:rPr>
          <w:t>2</w:t>
        </w:r>
        <w:r w:rsidRPr="00FD45FD">
          <w:rPr>
            <w:rFonts w:ascii="Times New Roman" w:hAnsi="Times New Roman" w:cs="Times New Roman"/>
            <w:noProof/>
            <w:sz w:val="24"/>
          </w:rPr>
          <w:fldChar w:fldCharType="end"/>
        </w:r>
      </w:p>
    </w:sdtContent>
  </w:sdt>
  <w:p w:rsidR="00FD45FD" w:rsidRDefault="00FD45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835"/>
    <w:multiLevelType w:val="multilevel"/>
    <w:tmpl w:val="A75E3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62EAD"/>
    <w:multiLevelType w:val="hybridMultilevel"/>
    <w:tmpl w:val="FFE8EC78"/>
    <w:lvl w:ilvl="0" w:tplc="56AA0AB2">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3252DAC"/>
    <w:multiLevelType w:val="multilevel"/>
    <w:tmpl w:val="A5B47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B2DAA"/>
    <w:multiLevelType w:val="multilevel"/>
    <w:tmpl w:val="35D44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2677F"/>
    <w:multiLevelType w:val="hybridMultilevel"/>
    <w:tmpl w:val="BDBC469E"/>
    <w:lvl w:ilvl="0" w:tplc="9058E3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83D92"/>
    <w:multiLevelType w:val="multilevel"/>
    <w:tmpl w:val="9E9C3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56AAF"/>
    <w:multiLevelType w:val="multilevel"/>
    <w:tmpl w:val="F3C46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DD1926"/>
    <w:multiLevelType w:val="multilevel"/>
    <w:tmpl w:val="E8FCC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782837"/>
    <w:multiLevelType w:val="multilevel"/>
    <w:tmpl w:val="09320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7B475E"/>
    <w:multiLevelType w:val="multilevel"/>
    <w:tmpl w:val="5A4C8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8"/>
  </w:num>
  <w:num w:numId="4">
    <w:abstractNumId w:val="2"/>
  </w:num>
  <w:num w:numId="5">
    <w:abstractNumId w:val="9"/>
  </w:num>
  <w:num w:numId="6">
    <w:abstractNumId w:val="7"/>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39"/>
    <w:rsid w:val="00097770"/>
    <w:rsid w:val="00147EB7"/>
    <w:rsid w:val="001778FD"/>
    <w:rsid w:val="00276C32"/>
    <w:rsid w:val="002B4188"/>
    <w:rsid w:val="002E1430"/>
    <w:rsid w:val="003D4D30"/>
    <w:rsid w:val="00400062"/>
    <w:rsid w:val="00430AEC"/>
    <w:rsid w:val="004C5533"/>
    <w:rsid w:val="004D28CC"/>
    <w:rsid w:val="004D66AD"/>
    <w:rsid w:val="005137B7"/>
    <w:rsid w:val="00526FC9"/>
    <w:rsid w:val="005614EF"/>
    <w:rsid w:val="005759DF"/>
    <w:rsid w:val="0062578B"/>
    <w:rsid w:val="0063272C"/>
    <w:rsid w:val="006828E8"/>
    <w:rsid w:val="00696AFE"/>
    <w:rsid w:val="00697BC7"/>
    <w:rsid w:val="006E1EC8"/>
    <w:rsid w:val="007B57D1"/>
    <w:rsid w:val="00827739"/>
    <w:rsid w:val="008916F0"/>
    <w:rsid w:val="008B4F66"/>
    <w:rsid w:val="008B5F51"/>
    <w:rsid w:val="008D2283"/>
    <w:rsid w:val="008D789D"/>
    <w:rsid w:val="008E54C1"/>
    <w:rsid w:val="009238E2"/>
    <w:rsid w:val="00930047"/>
    <w:rsid w:val="009522C6"/>
    <w:rsid w:val="00960B7E"/>
    <w:rsid w:val="00972263"/>
    <w:rsid w:val="00987E79"/>
    <w:rsid w:val="009A4C71"/>
    <w:rsid w:val="009B440A"/>
    <w:rsid w:val="00A631F4"/>
    <w:rsid w:val="00B1636B"/>
    <w:rsid w:val="00C73652"/>
    <w:rsid w:val="00C81FD4"/>
    <w:rsid w:val="00C91590"/>
    <w:rsid w:val="00C94373"/>
    <w:rsid w:val="00CA590D"/>
    <w:rsid w:val="00D13F01"/>
    <w:rsid w:val="00D5326C"/>
    <w:rsid w:val="00D63C01"/>
    <w:rsid w:val="00E41BED"/>
    <w:rsid w:val="00E43155"/>
    <w:rsid w:val="00F80446"/>
    <w:rsid w:val="00FD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F07D"/>
  <w15:docId w15:val="{A5D224CE-AB9E-44B9-AB43-AE77E9A9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047"/>
    <w:rPr>
      <w:rFonts w:ascii="Segoe UI" w:hAnsi="Segoe UI" w:cs="Segoe UI"/>
      <w:sz w:val="18"/>
      <w:szCs w:val="18"/>
    </w:rPr>
  </w:style>
  <w:style w:type="paragraph" w:styleId="ListParagraph">
    <w:name w:val="List Paragraph"/>
    <w:basedOn w:val="Normal"/>
    <w:uiPriority w:val="34"/>
    <w:qFormat/>
    <w:rsid w:val="00C91590"/>
    <w:pPr>
      <w:ind w:left="720"/>
      <w:contextualSpacing/>
    </w:pPr>
  </w:style>
  <w:style w:type="paragraph" w:styleId="Header">
    <w:name w:val="header"/>
    <w:basedOn w:val="Normal"/>
    <w:link w:val="HeaderChar"/>
    <w:uiPriority w:val="99"/>
    <w:unhideWhenUsed/>
    <w:rsid w:val="00FD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FD"/>
  </w:style>
  <w:style w:type="paragraph" w:styleId="Footer">
    <w:name w:val="footer"/>
    <w:basedOn w:val="Normal"/>
    <w:link w:val="FooterChar"/>
    <w:uiPriority w:val="99"/>
    <w:unhideWhenUsed/>
    <w:rsid w:val="00FD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E781-85B7-4DB7-B1FE-8DBD52BB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Bich</dc:creator>
  <cp:lastModifiedBy>pvtm</cp:lastModifiedBy>
  <cp:revision>20</cp:revision>
  <cp:lastPrinted>2022-09-20T02:37:00Z</cp:lastPrinted>
  <dcterms:created xsi:type="dcterms:W3CDTF">2022-09-16T07:57:00Z</dcterms:created>
  <dcterms:modified xsi:type="dcterms:W3CDTF">2022-11-10T09:00:00Z</dcterms:modified>
</cp:coreProperties>
</file>